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0C45" w:rsidRDefault="00B214EB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Приложение № 1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к постановлению Администрации ЗАТО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г. Железногорск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от </w:t>
      </w:r>
      <w:r w:rsidR="00B651D9">
        <w:rPr>
          <w:rFonts w:ascii="Times New Roman" w:eastAsia="Times New Roman" w:hAnsi="Times New Roman"/>
          <w:sz w:val="24"/>
          <w:szCs w:val="24"/>
        </w:rPr>
        <w:t>13.11.</w:t>
      </w:r>
      <w:r>
        <w:rPr>
          <w:rFonts w:ascii="Times New Roman" w:eastAsia="Times New Roman" w:hAnsi="Times New Roman"/>
          <w:sz w:val="24"/>
          <w:szCs w:val="24"/>
        </w:rPr>
        <w:t xml:space="preserve">2018 № </w:t>
      </w:r>
      <w:r w:rsidR="00B651D9">
        <w:rPr>
          <w:rFonts w:ascii="Times New Roman" w:eastAsia="Times New Roman" w:hAnsi="Times New Roman"/>
          <w:sz w:val="24"/>
          <w:szCs w:val="24"/>
        </w:rPr>
        <w:t>2132</w:t>
      </w:r>
    </w:p>
    <w:p w:rsidR="008C0C45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</w:p>
    <w:p w:rsidR="008C0C45" w:rsidRPr="00890843" w:rsidRDefault="008C0C45" w:rsidP="008C0C45">
      <w:pPr>
        <w:ind w:left="9639"/>
        <w:jc w:val="both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2</w:t>
      </w:r>
    </w:p>
    <w:p w:rsidR="008C0C45" w:rsidRPr="00890843" w:rsidRDefault="008C0C45" w:rsidP="008C0C45">
      <w:pPr>
        <w:ind w:left="9639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Pr="00890843" w:rsidRDefault="008C0C45" w:rsidP="008C0C45">
      <w:pPr>
        <w:ind w:left="9639"/>
      </w:pPr>
    </w:p>
    <w:p w:rsidR="008C0C45" w:rsidRDefault="008C0C45" w:rsidP="008C0C45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Информация о ресурсном обеспечении и прогнозной оценке расходов на реализацию целей муниципальной программы ЗАТО Железногорск с учетом источников финансирования, в том числе по уровням бюджетной системы</w:t>
      </w:r>
    </w:p>
    <w:p w:rsidR="0059041F" w:rsidRPr="00890843" w:rsidRDefault="0059041F" w:rsidP="008C0C45">
      <w:pPr>
        <w:jc w:val="center"/>
      </w:pPr>
    </w:p>
    <w:p w:rsidR="008C0C45" w:rsidRPr="00890843" w:rsidRDefault="008C0C45" w:rsidP="008C0C45">
      <w:pPr>
        <w:jc w:val="center"/>
      </w:pPr>
    </w:p>
    <w:tbl>
      <w:tblPr>
        <w:tblW w:w="14332" w:type="dxa"/>
        <w:tblInd w:w="93" w:type="dxa"/>
        <w:tblLayout w:type="fixed"/>
        <w:tblLook w:val="04A0"/>
      </w:tblPr>
      <w:tblGrid>
        <w:gridCol w:w="2000"/>
        <w:gridCol w:w="2551"/>
        <w:gridCol w:w="1985"/>
        <w:gridCol w:w="1843"/>
        <w:gridCol w:w="1559"/>
        <w:gridCol w:w="754"/>
        <w:gridCol w:w="933"/>
        <w:gridCol w:w="933"/>
        <w:gridCol w:w="1774"/>
      </w:tblGrid>
      <w:tr w:rsidR="0059041F" w:rsidRPr="00B62807" w:rsidTr="0059041F">
        <w:trPr>
          <w:trHeight w:val="2520"/>
        </w:trPr>
        <w:tc>
          <w:tcPr>
            <w:tcW w:w="200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Статус</w:t>
            </w:r>
          </w:p>
        </w:tc>
        <w:tc>
          <w:tcPr>
            <w:tcW w:w="25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1985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Уровень бюджетной системы / источники финансирования</w:t>
            </w:r>
          </w:p>
        </w:tc>
        <w:tc>
          <w:tcPr>
            <w:tcW w:w="7796" w:type="dxa"/>
            <w:gridSpan w:val="6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Оценка расходов (руб.), годы</w:t>
            </w:r>
          </w:p>
        </w:tc>
      </w:tr>
      <w:tr w:rsidR="0059041F" w:rsidRPr="00B62807" w:rsidTr="0059041F">
        <w:trPr>
          <w:trHeight w:val="30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041F" w:rsidRPr="00B62807" w:rsidTr="0059041F">
        <w:trPr>
          <w:trHeight w:val="31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7796" w:type="dxa"/>
            <w:gridSpan w:val="6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59041F" w:rsidRPr="00B62807" w:rsidTr="0059041F">
        <w:trPr>
          <w:trHeight w:val="615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75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933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77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Итого на период</w:t>
            </w:r>
          </w:p>
        </w:tc>
      </w:tr>
      <w:tr w:rsidR="0059041F" w:rsidRPr="00B62807" w:rsidTr="0059041F">
        <w:trPr>
          <w:trHeight w:val="330"/>
        </w:trPr>
        <w:tc>
          <w:tcPr>
            <w:tcW w:w="200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9041F" w:rsidRPr="00B62807" w:rsidRDefault="0059041F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год</w:t>
            </w:r>
          </w:p>
        </w:tc>
        <w:tc>
          <w:tcPr>
            <w:tcW w:w="177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59041F" w:rsidRPr="00B62807" w:rsidRDefault="0059041F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Муниципальная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Формирование современной городской среды на 2018-2022 годы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49 635 050,00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49 635 050,00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программа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26 839 416,53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26 839 416,53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lastRenderedPageBreak/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16 523 483,47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16 523 483,47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6 272 150,00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6 272 150,00</w:t>
            </w:r>
          </w:p>
        </w:tc>
      </w:tr>
      <w:tr w:rsidR="00B214EB" w:rsidRPr="00B62807" w:rsidTr="00290F19">
        <w:trPr>
          <w:trHeight w:val="645"/>
        </w:trPr>
        <w:tc>
          <w:tcPr>
            <w:tcW w:w="20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Arial" w:eastAsia="Times New Roman" w:hAnsi="Arial" w:cs="Arial"/>
                <w:sz w:val="20"/>
              </w:rPr>
            </w:pPr>
            <w:r w:rsidRPr="00B62807">
              <w:rPr>
                <w:rFonts w:ascii="Arial" w:eastAsia="Times New Roman" w:hAnsi="Arial" w:cs="Arial"/>
                <w:sz w:val="20"/>
              </w:rPr>
              <w:t> </w:t>
            </w: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Отдельное мероприятие 1.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Расходы на реализацию мероприятий по благоустройству, направленных на формирование современной городской среды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44 635 050,00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44 635 050,00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B214EB" w:rsidRPr="00B62807" w:rsidTr="00290F19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26 839 416,53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26 839 416,53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16 523 483,47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16 523 483,47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1 272 150,00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1 272 150,00</w:t>
            </w:r>
          </w:p>
        </w:tc>
      </w:tr>
      <w:tr w:rsidR="00B214EB" w:rsidRPr="00B62807" w:rsidTr="00290F19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Отдельное мероприятие 2.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sz w:val="22"/>
                <w:szCs w:val="22"/>
              </w:rPr>
              <w:t>Субсидии в форме гранта управляющей организации на реализацию мероприятий по благоустройству дворовых территорий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 том числе: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 </w:t>
            </w:r>
          </w:p>
        </w:tc>
      </w:tr>
      <w:tr w:rsidR="00B214EB" w:rsidRPr="00B62807" w:rsidTr="00290F19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федеральный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краевой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  <w:tr w:rsidR="00B214EB" w:rsidRPr="00B62807" w:rsidTr="00290F19">
        <w:trPr>
          <w:trHeight w:val="330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местный бюджет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5 000 000,00</w:t>
            </w:r>
          </w:p>
        </w:tc>
      </w:tr>
      <w:tr w:rsidR="00B214EB" w:rsidRPr="00B62807" w:rsidTr="00290F19">
        <w:trPr>
          <w:trHeight w:val="645"/>
        </w:trPr>
        <w:tc>
          <w:tcPr>
            <w:tcW w:w="2000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:rsidR="00B214EB" w:rsidRPr="00B62807" w:rsidRDefault="00B214EB" w:rsidP="00384A96">
            <w:pPr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2807">
              <w:rPr>
                <w:rFonts w:ascii="Times New Roman" w:eastAsia="Times New Roman" w:hAnsi="Times New Roman"/>
                <w:sz w:val="24"/>
                <w:szCs w:val="24"/>
              </w:rPr>
              <w:t xml:space="preserve">      внебюджетные источники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B214EB" w:rsidRDefault="00B214EB" w:rsidP="00B214EB">
            <w:pPr>
              <w:jc w:val="center"/>
            </w:pPr>
            <w:r w:rsidRPr="00061501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75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93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384A96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  <w:tc>
          <w:tcPr>
            <w:tcW w:w="177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B214EB" w:rsidRPr="00B62807" w:rsidRDefault="00B214EB" w:rsidP="00D30A81">
            <w:pPr>
              <w:jc w:val="center"/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</w:pPr>
            <w:r w:rsidRPr="00B62807">
              <w:rPr>
                <w:rFonts w:ascii="Times New Roman" w:eastAsia="Times New Roman" w:hAnsi="Times New Roman"/>
                <w:color w:val="FF0000"/>
                <w:sz w:val="22"/>
                <w:szCs w:val="22"/>
              </w:rPr>
              <w:t>0,00</w:t>
            </w:r>
          </w:p>
        </w:tc>
      </w:tr>
    </w:tbl>
    <w:p w:rsidR="008C0C45" w:rsidRPr="00890843" w:rsidRDefault="008C0C45" w:rsidP="008C0C45"/>
    <w:p w:rsidR="008C0C45" w:rsidRPr="00890843" w:rsidRDefault="008C0C45" w:rsidP="008C0C45"/>
    <w:p w:rsidR="008C0C45" w:rsidRPr="00890843" w:rsidRDefault="008C0C45" w:rsidP="008C0C45">
      <w:pPr>
        <w:rPr>
          <w:rFonts w:ascii="Times New Roman" w:hAnsi="Times New Roman"/>
          <w:sz w:val="28"/>
          <w:szCs w:val="28"/>
        </w:rPr>
      </w:pPr>
    </w:p>
    <w:p w:rsidR="00A2399E" w:rsidRPr="008C0C45" w:rsidRDefault="008C0C45" w:rsidP="008C0C45">
      <w:pPr>
        <w:rPr>
          <w:szCs w:val="28"/>
        </w:rPr>
      </w:pPr>
      <w:r w:rsidRPr="00890843">
        <w:rPr>
          <w:rFonts w:ascii="Times New Roman" w:hAnsi="Times New Roman"/>
          <w:sz w:val="28"/>
          <w:szCs w:val="28"/>
        </w:rPr>
        <w:t>Руководитель УГХ Администрации ЗАТО г. Железногорск                                                                        Л.М. Антоненко</w:t>
      </w:r>
    </w:p>
    <w:sectPr w:rsidR="00A2399E" w:rsidRPr="008C0C45" w:rsidSect="008C0C45">
      <w:headerReference w:type="default" r:id="rId7"/>
      <w:footerReference w:type="default" r:id="rId8"/>
      <w:pgSz w:w="16838" w:h="11906" w:orient="landscape"/>
      <w:pgMar w:top="1134" w:right="1134" w:bottom="850" w:left="1276" w:header="708" w:footer="708" w:gutter="0"/>
      <w:pgNumType w:start="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3C9D" w:rsidRDefault="005F3C9D" w:rsidP="006F70F9">
      <w:r>
        <w:separator/>
      </w:r>
    </w:p>
  </w:endnote>
  <w:endnote w:type="continuationSeparator" w:id="0">
    <w:p w:rsidR="005F3C9D" w:rsidRDefault="005F3C9D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3C9D" w:rsidRDefault="005F3C9D">
    <w:pPr>
      <w:pStyle w:val="a6"/>
      <w:jc w:val="center"/>
    </w:pPr>
  </w:p>
  <w:p w:rsidR="005F3C9D" w:rsidRDefault="005F3C9D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3C9D" w:rsidRDefault="005F3C9D" w:rsidP="006F70F9">
      <w:r>
        <w:separator/>
      </w:r>
    </w:p>
  </w:footnote>
  <w:footnote w:type="continuationSeparator" w:id="0">
    <w:p w:rsidR="005F3C9D" w:rsidRDefault="005F3C9D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0907703"/>
      <w:docPartObj>
        <w:docPartGallery w:val="Page Numbers (Top of Page)"/>
        <w:docPartUnique/>
      </w:docPartObj>
    </w:sdtPr>
    <w:sdtContent>
      <w:p w:rsidR="005F3C9D" w:rsidRDefault="00F10BBD">
        <w:pPr>
          <w:pStyle w:val="a3"/>
          <w:jc w:val="center"/>
        </w:pPr>
        <w:fldSimple w:instr=" PAGE   \* MERGEFORMAT ">
          <w:r w:rsidR="00B651D9">
            <w:rPr>
              <w:noProof/>
            </w:rPr>
            <w:t>10</w:t>
          </w:r>
        </w:fldSimple>
      </w:p>
    </w:sdtContent>
  </w:sdt>
  <w:p w:rsidR="005F3C9D" w:rsidRDefault="005F3C9D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251D67"/>
    <w:rsid w:val="002D6EC9"/>
    <w:rsid w:val="004C7DC9"/>
    <w:rsid w:val="005568F2"/>
    <w:rsid w:val="005868C5"/>
    <w:rsid w:val="0059041F"/>
    <w:rsid w:val="005E42ED"/>
    <w:rsid w:val="005F3C9D"/>
    <w:rsid w:val="006E765D"/>
    <w:rsid w:val="006F70F9"/>
    <w:rsid w:val="00751935"/>
    <w:rsid w:val="0078223D"/>
    <w:rsid w:val="008C0C45"/>
    <w:rsid w:val="00A2399E"/>
    <w:rsid w:val="00A60B63"/>
    <w:rsid w:val="00AA478D"/>
    <w:rsid w:val="00B214EB"/>
    <w:rsid w:val="00B651D9"/>
    <w:rsid w:val="00C216EF"/>
    <w:rsid w:val="00D671B1"/>
    <w:rsid w:val="00E353EC"/>
    <w:rsid w:val="00E45D12"/>
    <w:rsid w:val="00E52539"/>
    <w:rsid w:val="00E53FE7"/>
    <w:rsid w:val="00E7103D"/>
    <w:rsid w:val="00E87D16"/>
    <w:rsid w:val="00EB12C2"/>
    <w:rsid w:val="00F10BBD"/>
    <w:rsid w:val="00F359F2"/>
    <w:rsid w:val="00F376F6"/>
    <w:rsid w:val="00FD6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C0C45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C0C45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331</Words>
  <Characters>1893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6</cp:revision>
  <cp:lastPrinted>2018-10-30T04:43:00Z</cp:lastPrinted>
  <dcterms:created xsi:type="dcterms:W3CDTF">2018-10-30T04:42:00Z</dcterms:created>
  <dcterms:modified xsi:type="dcterms:W3CDTF">2018-11-14T03:14:00Z</dcterms:modified>
</cp:coreProperties>
</file>